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B9728" w14:textId="77777777" w:rsidR="00E3003A" w:rsidRPr="00A67AEE" w:rsidRDefault="00CC71F6">
      <w:pPr>
        <w:rPr>
          <w:b/>
          <w:color w:val="0099A0" w:themeColor="background1"/>
          <w:sz w:val="32"/>
        </w:rPr>
      </w:pPr>
      <w:r w:rsidRPr="00A67AEE">
        <w:rPr>
          <w:b/>
          <w:color w:val="0099A0" w:themeColor="background1"/>
          <w:sz w:val="32"/>
        </w:rPr>
        <w:t xml:space="preserve">Principles for in person </w:t>
      </w:r>
      <w:r w:rsidR="008276DE" w:rsidRPr="00A67AEE">
        <w:rPr>
          <w:b/>
          <w:color w:val="0099A0" w:themeColor="background1"/>
          <w:sz w:val="32"/>
        </w:rPr>
        <w:t xml:space="preserve">visits, support </w:t>
      </w:r>
      <w:r w:rsidRPr="00A67AEE">
        <w:rPr>
          <w:b/>
          <w:color w:val="0099A0" w:themeColor="background1"/>
          <w:sz w:val="32"/>
        </w:rPr>
        <w:t>and Family Time</w:t>
      </w:r>
    </w:p>
    <w:p w14:paraId="57A29EFD" w14:textId="77777777" w:rsidR="00CC71F6" w:rsidRDefault="00CC71F6">
      <w:pPr>
        <w:rPr>
          <w:color w:val="20275C" w:themeColor="text1"/>
        </w:rPr>
      </w:pPr>
      <w:r w:rsidRPr="00123C0E">
        <w:rPr>
          <w:color w:val="20275C" w:themeColor="text1"/>
        </w:rPr>
        <w:t>Widespread introduction of COVID Local Alert Level Tier 3 in the North West and subsequent announcement of new national restrictions introduced on 5 November, create</w:t>
      </w:r>
      <w:r w:rsidR="000A7D36">
        <w:rPr>
          <w:color w:val="20275C" w:themeColor="text1"/>
        </w:rPr>
        <w:t>d</w:t>
      </w:r>
      <w:r w:rsidRPr="00123C0E">
        <w:rPr>
          <w:color w:val="20275C" w:themeColor="text1"/>
        </w:rPr>
        <w:t xml:space="preserve"> the scope to establish </w:t>
      </w:r>
      <w:r w:rsidR="00140E58">
        <w:rPr>
          <w:color w:val="20275C" w:themeColor="text1"/>
        </w:rPr>
        <w:t>principles for safe, consistent delivery of in person social work activities.</w:t>
      </w:r>
    </w:p>
    <w:p w14:paraId="14BA385D" w14:textId="77777777" w:rsidR="00140E58" w:rsidRPr="00A67AEE" w:rsidRDefault="00140E58">
      <w:pPr>
        <w:rPr>
          <w:b/>
          <w:color w:val="0099A0" w:themeColor="background1"/>
          <w:sz w:val="24"/>
        </w:rPr>
      </w:pPr>
      <w:r w:rsidRPr="00A67AEE">
        <w:rPr>
          <w:b/>
          <w:color w:val="0099A0" w:themeColor="background1"/>
          <w:sz w:val="24"/>
        </w:rPr>
        <w:t>Principle</w:t>
      </w:r>
      <w:r w:rsidR="00A67AEE">
        <w:rPr>
          <w:b/>
          <w:color w:val="0099A0" w:themeColor="background1"/>
          <w:sz w:val="24"/>
        </w:rPr>
        <w:t>s</w:t>
      </w:r>
    </w:p>
    <w:p w14:paraId="47110334" w14:textId="77777777" w:rsidR="00140E58" w:rsidRDefault="00140E58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In person visits to children, young people and families should</w:t>
      </w:r>
      <w:r w:rsidR="00DD3DC0">
        <w:rPr>
          <w:color w:val="20275C" w:themeColor="text1"/>
        </w:rPr>
        <w:t>,</w:t>
      </w:r>
      <w:r>
        <w:rPr>
          <w:color w:val="20275C" w:themeColor="text1"/>
        </w:rPr>
        <w:t xml:space="preserve"> in all cases</w:t>
      </w:r>
      <w:r w:rsidR="00DD3DC0">
        <w:rPr>
          <w:color w:val="20275C" w:themeColor="text1"/>
        </w:rPr>
        <w:t>,</w:t>
      </w:r>
      <w:r>
        <w:rPr>
          <w:color w:val="20275C" w:themeColor="text1"/>
        </w:rPr>
        <w:t xml:space="preserve"> be considered an essential part of the social work task, with virtual arrangements being implemented by exception.</w:t>
      </w:r>
    </w:p>
    <w:p w14:paraId="72B4BD4D" w14:textId="77777777" w:rsidR="00B84E86" w:rsidRDefault="00B84E86" w:rsidP="00B84E86">
      <w:pPr>
        <w:pStyle w:val="ListParagraph"/>
        <w:ind w:left="360"/>
        <w:rPr>
          <w:color w:val="20275C" w:themeColor="text1"/>
        </w:rPr>
      </w:pPr>
    </w:p>
    <w:p w14:paraId="1ACF23E4" w14:textId="77777777" w:rsidR="000F654D" w:rsidRDefault="000F654D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Family Time, including with brothers and sisters, should similarly be considered essential to promote wellbeing and nurture positive relationships</w:t>
      </w:r>
      <w:r w:rsidR="008276DE">
        <w:rPr>
          <w:color w:val="20275C" w:themeColor="text1"/>
        </w:rPr>
        <w:t>.  This is</w:t>
      </w:r>
      <w:r>
        <w:rPr>
          <w:color w:val="20275C" w:themeColor="text1"/>
        </w:rPr>
        <w:t xml:space="preserve"> specific</w:t>
      </w:r>
      <w:r w:rsidR="008276DE">
        <w:rPr>
          <w:color w:val="20275C" w:themeColor="text1"/>
        </w:rPr>
        <w:t>ally</w:t>
      </w:r>
      <w:r>
        <w:rPr>
          <w:color w:val="20275C" w:themeColor="text1"/>
        </w:rPr>
        <w:t xml:space="preserve"> exempt</w:t>
      </w:r>
      <w:r w:rsidR="008276DE">
        <w:rPr>
          <w:color w:val="20275C" w:themeColor="text1"/>
        </w:rPr>
        <w:t>ed under</w:t>
      </w:r>
      <w:r>
        <w:rPr>
          <w:color w:val="20275C" w:themeColor="text1"/>
        </w:rPr>
        <w:t xml:space="preserve"> national restrictions (See </w:t>
      </w:r>
      <w:hyperlink r:id="rId7" w:history="1">
        <w:r w:rsidRPr="000F654D">
          <w:rPr>
            <w:rStyle w:val="Hyperlink"/>
          </w:rPr>
          <w:t>Exception 13</w:t>
        </w:r>
      </w:hyperlink>
      <w:r>
        <w:rPr>
          <w:color w:val="20275C" w:themeColor="text1"/>
        </w:rPr>
        <w:t xml:space="preserve">) and ‘Very High’ (LAL3) restrictions (see </w:t>
      </w:r>
      <w:hyperlink r:id="rId8" w:history="1">
        <w:r w:rsidRPr="000F654D">
          <w:rPr>
            <w:rStyle w:val="Hyperlink"/>
          </w:rPr>
          <w:t>Exception 3</w:t>
        </w:r>
      </w:hyperlink>
      <w:r>
        <w:rPr>
          <w:color w:val="20275C" w:themeColor="text1"/>
        </w:rPr>
        <w:t>)</w:t>
      </w:r>
    </w:p>
    <w:p w14:paraId="17A0B17B" w14:textId="77777777" w:rsidR="00B84E86" w:rsidRDefault="00B84E86" w:rsidP="00B84E86">
      <w:pPr>
        <w:pStyle w:val="ListParagraph"/>
        <w:ind w:left="360"/>
        <w:rPr>
          <w:color w:val="20275C" w:themeColor="text1"/>
        </w:rPr>
      </w:pPr>
    </w:p>
    <w:p w14:paraId="0AC57263" w14:textId="77777777" w:rsidR="00140E58" w:rsidRDefault="00140E58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N</w:t>
      </w:r>
      <w:r w:rsidRPr="00123C0E">
        <w:rPr>
          <w:color w:val="20275C" w:themeColor="text1"/>
        </w:rPr>
        <w:t xml:space="preserve">o ‘blanket approach’ </w:t>
      </w:r>
      <w:r>
        <w:rPr>
          <w:color w:val="20275C" w:themeColor="text1"/>
        </w:rPr>
        <w:t xml:space="preserve">should </w:t>
      </w:r>
      <w:r w:rsidRPr="00123C0E">
        <w:rPr>
          <w:color w:val="20275C" w:themeColor="text1"/>
        </w:rPr>
        <w:t>to be applied</w:t>
      </w:r>
      <w:r>
        <w:rPr>
          <w:color w:val="20275C" w:themeColor="text1"/>
        </w:rPr>
        <w:t xml:space="preserve"> to the use of </w:t>
      </w:r>
      <w:hyperlink r:id="rId9" w:anchor="virtual-visits---local-authorities" w:history="1">
        <w:r w:rsidR="00B84E86">
          <w:rPr>
            <w:rStyle w:val="Hyperlink"/>
          </w:rPr>
          <w:t>virtual visits</w:t>
        </w:r>
      </w:hyperlink>
      <w:r w:rsidRPr="00123C0E">
        <w:rPr>
          <w:color w:val="20275C" w:themeColor="text1"/>
        </w:rPr>
        <w:t xml:space="preserve"> all decisions for virtual visits/</w:t>
      </w:r>
      <w:hyperlink r:id="rId10" w:anchor="courts" w:history="1">
        <w:r w:rsidRPr="00B84E86">
          <w:rPr>
            <w:rStyle w:val="Hyperlink"/>
          </w:rPr>
          <w:t>Family Time</w:t>
        </w:r>
      </w:hyperlink>
      <w:r w:rsidRPr="00123C0E">
        <w:rPr>
          <w:color w:val="20275C" w:themeColor="text1"/>
        </w:rPr>
        <w:t xml:space="preserve"> must be </w:t>
      </w:r>
      <w:r w:rsidR="00DD3DC0">
        <w:rPr>
          <w:color w:val="20275C" w:themeColor="text1"/>
        </w:rPr>
        <w:t xml:space="preserve">made, authorised and recorded </w:t>
      </w:r>
      <w:r w:rsidRPr="00123C0E">
        <w:rPr>
          <w:color w:val="20275C" w:themeColor="text1"/>
        </w:rPr>
        <w:t>on a case-by-case basis (</w:t>
      </w:r>
      <w:r w:rsidRPr="00B84E86">
        <w:rPr>
          <w:color w:val="20275C" w:themeColor="text1"/>
        </w:rPr>
        <w:t>in line with</w:t>
      </w:r>
      <w:r w:rsidR="00B84E86" w:rsidRPr="00B84E86">
        <w:rPr>
          <w:color w:val="20275C" w:themeColor="text1"/>
        </w:rPr>
        <w:t xml:space="preserve"> </w:t>
      </w:r>
      <w:hyperlink r:id="rId11" w:history="1">
        <w:r w:rsidR="00B84E86" w:rsidRPr="00B84E86">
          <w:rPr>
            <w:rStyle w:val="Hyperlink"/>
            <w:i/>
          </w:rPr>
          <w:t>Coronavirus guidance for children’s social care services</w:t>
        </w:r>
      </w:hyperlink>
      <w:r w:rsidR="00B84E86">
        <w:rPr>
          <w:color w:val="20275C" w:themeColor="text1"/>
        </w:rPr>
        <w:t>)</w:t>
      </w:r>
    </w:p>
    <w:p w14:paraId="53C1E401" w14:textId="77777777" w:rsidR="00DD3DC0" w:rsidRPr="00DD3DC0" w:rsidRDefault="00DD3DC0" w:rsidP="00DD3DC0">
      <w:pPr>
        <w:pStyle w:val="ListParagraph"/>
        <w:rPr>
          <w:color w:val="20275C" w:themeColor="text1"/>
        </w:rPr>
      </w:pPr>
    </w:p>
    <w:p w14:paraId="5054E25D" w14:textId="77777777" w:rsidR="00DD3DC0" w:rsidRDefault="00DD3DC0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 xml:space="preserve">Travel by social workers and other children’s workforce within and between areas during national restrictions and, where relevant, </w:t>
      </w:r>
      <w:r w:rsidR="008276DE">
        <w:rPr>
          <w:color w:val="20275C" w:themeColor="text1"/>
        </w:rPr>
        <w:t>under</w:t>
      </w:r>
      <w:r>
        <w:rPr>
          <w:color w:val="20275C" w:themeColor="text1"/>
        </w:rPr>
        <w:t xml:space="preserve"> differing Local Alert Levels </w:t>
      </w:r>
      <w:r w:rsidR="008276DE">
        <w:rPr>
          <w:color w:val="20275C" w:themeColor="text1"/>
        </w:rPr>
        <w:t xml:space="preserve">should continue where needed to deliver essential services (See </w:t>
      </w:r>
      <w:hyperlink r:id="rId12" w:history="1">
        <w:r w:rsidR="008276DE" w:rsidRPr="000F654D">
          <w:rPr>
            <w:rStyle w:val="Hyperlink"/>
          </w:rPr>
          <w:t>Exception 3</w:t>
        </w:r>
      </w:hyperlink>
      <w:r w:rsidR="008276DE">
        <w:rPr>
          <w:color w:val="20275C" w:themeColor="text1"/>
        </w:rPr>
        <w:t>)</w:t>
      </w:r>
      <w:r>
        <w:rPr>
          <w:color w:val="20275C" w:themeColor="text1"/>
        </w:rPr>
        <w:t xml:space="preserve">.  </w:t>
      </w:r>
    </w:p>
    <w:p w14:paraId="637CE81E" w14:textId="77777777" w:rsidR="008276DE" w:rsidRPr="008276DE" w:rsidRDefault="008276DE" w:rsidP="008276DE">
      <w:pPr>
        <w:pStyle w:val="ListParagraph"/>
        <w:rPr>
          <w:color w:val="20275C" w:themeColor="text1"/>
        </w:rPr>
      </w:pPr>
    </w:p>
    <w:p w14:paraId="49E1BB09" w14:textId="77777777" w:rsidR="008276DE" w:rsidRPr="00140E58" w:rsidRDefault="008276DE" w:rsidP="00140E58">
      <w:pPr>
        <w:pStyle w:val="ListParagraph"/>
        <w:numPr>
          <w:ilvl w:val="0"/>
          <w:numId w:val="1"/>
        </w:numPr>
        <w:rPr>
          <w:color w:val="20275C" w:themeColor="text1"/>
        </w:rPr>
      </w:pPr>
      <w:r>
        <w:rPr>
          <w:color w:val="20275C" w:themeColor="text1"/>
        </w:rPr>
        <w:t>Support, including for vulnerable children, victims of domestic abuse</w:t>
      </w:r>
      <w:r w:rsidR="00A67AEE">
        <w:rPr>
          <w:color w:val="20275C" w:themeColor="text1"/>
        </w:rPr>
        <w:t xml:space="preserve"> and for</w:t>
      </w:r>
      <w:r>
        <w:rPr>
          <w:color w:val="20275C" w:themeColor="text1"/>
        </w:rPr>
        <w:t xml:space="preserve"> parenting (</w:t>
      </w:r>
      <w:hyperlink r:id="rId13" w:history="1">
        <w:r>
          <w:rPr>
            <w:rStyle w:val="Hyperlink"/>
          </w:rPr>
          <w:t>Exception 5</w:t>
        </w:r>
      </w:hyperlink>
      <w:r>
        <w:rPr>
          <w:color w:val="20275C" w:themeColor="text1"/>
        </w:rPr>
        <w:t>)</w:t>
      </w:r>
      <w:r w:rsidR="00A67AEE">
        <w:rPr>
          <w:color w:val="20275C" w:themeColor="text1"/>
        </w:rPr>
        <w:t xml:space="preserve">; </w:t>
      </w:r>
      <w:r>
        <w:rPr>
          <w:color w:val="20275C" w:themeColor="text1"/>
        </w:rPr>
        <w:t xml:space="preserve"> </w:t>
      </w:r>
      <w:r w:rsidR="00A67AEE">
        <w:rPr>
          <w:color w:val="20275C" w:themeColor="text1"/>
        </w:rPr>
        <w:t>in addition to</w:t>
      </w:r>
      <w:r>
        <w:rPr>
          <w:color w:val="20275C" w:themeColor="text1"/>
        </w:rPr>
        <w:t xml:space="preserve"> respite for Looked After Children and children with disabilities  (</w:t>
      </w:r>
      <w:hyperlink r:id="rId14" w:history="1">
        <w:r>
          <w:rPr>
            <w:rStyle w:val="Hyperlink"/>
          </w:rPr>
          <w:t>Exception 6</w:t>
        </w:r>
      </w:hyperlink>
      <w:r>
        <w:rPr>
          <w:color w:val="20275C" w:themeColor="text1"/>
        </w:rPr>
        <w:t xml:space="preserve">) should continue safely, in line with relevant regulatory exceptions to national restrictions. </w:t>
      </w:r>
    </w:p>
    <w:p w14:paraId="73D136F0" w14:textId="77777777" w:rsidR="00CC71F6" w:rsidRPr="00A67AEE" w:rsidRDefault="00DD3DC0" w:rsidP="00CC71F6">
      <w:pPr>
        <w:rPr>
          <w:b/>
          <w:color w:val="0099A0" w:themeColor="background1"/>
          <w:sz w:val="24"/>
        </w:rPr>
      </w:pPr>
      <w:r w:rsidRPr="00A67AEE">
        <w:rPr>
          <w:b/>
          <w:color w:val="0099A0" w:themeColor="background1"/>
          <w:sz w:val="24"/>
        </w:rPr>
        <w:t xml:space="preserve">Practical </w:t>
      </w:r>
      <w:r w:rsidR="008276DE" w:rsidRPr="00A67AEE">
        <w:rPr>
          <w:b/>
          <w:color w:val="0099A0" w:themeColor="background1"/>
          <w:sz w:val="24"/>
        </w:rPr>
        <w:t>considerations</w:t>
      </w:r>
    </w:p>
    <w:p w14:paraId="3C3579E4" w14:textId="77777777" w:rsidR="00A67AEE" w:rsidRDefault="00A67AEE" w:rsidP="00A67AEE">
      <w:pPr>
        <w:pStyle w:val="ListParagraph"/>
        <w:numPr>
          <w:ilvl w:val="0"/>
          <w:numId w:val="2"/>
        </w:numPr>
        <w:rPr>
          <w:color w:val="20275C" w:themeColor="text1"/>
        </w:rPr>
      </w:pPr>
      <w:r w:rsidRPr="00DD3DC0">
        <w:rPr>
          <w:color w:val="20275C" w:themeColor="text1"/>
        </w:rPr>
        <w:t xml:space="preserve">Seeking and recording </w:t>
      </w:r>
      <w:hyperlink r:id="rId15" w:anchor="courts" w:history="1">
        <w:r w:rsidRPr="00DD3DC0">
          <w:rPr>
            <w:rStyle w:val="Hyperlink"/>
          </w:rPr>
          <w:t>views of children and young people</w:t>
        </w:r>
      </w:hyperlink>
      <w:r>
        <w:rPr>
          <w:color w:val="20275C" w:themeColor="text1"/>
        </w:rPr>
        <w:t xml:space="preserve"> and the impact on them should inform the approach to decision-making in all cases</w:t>
      </w:r>
      <w:r w:rsidRPr="00DD3DC0">
        <w:rPr>
          <w:color w:val="20275C" w:themeColor="text1"/>
        </w:rPr>
        <w:t>.</w:t>
      </w:r>
    </w:p>
    <w:p w14:paraId="6A91FE76" w14:textId="77777777" w:rsidR="00A67AEE" w:rsidRDefault="00A67AEE" w:rsidP="00A67AEE">
      <w:pPr>
        <w:pStyle w:val="ListParagraph"/>
        <w:ind w:left="360"/>
        <w:rPr>
          <w:color w:val="20275C" w:themeColor="text1"/>
        </w:rPr>
      </w:pPr>
    </w:p>
    <w:p w14:paraId="7DDBDE83" w14:textId="77777777" w:rsidR="00A67AEE" w:rsidRDefault="00CC71F6" w:rsidP="00A67AEE">
      <w:pPr>
        <w:pStyle w:val="ListParagraph"/>
        <w:numPr>
          <w:ilvl w:val="0"/>
          <w:numId w:val="2"/>
        </w:numPr>
        <w:rPr>
          <w:color w:val="20275C" w:themeColor="text1"/>
        </w:rPr>
      </w:pPr>
      <w:r w:rsidRPr="00DD3DC0">
        <w:rPr>
          <w:color w:val="20275C" w:themeColor="text1"/>
        </w:rPr>
        <w:t xml:space="preserve">Dynamic </w:t>
      </w:r>
      <w:hyperlink r:id="rId16" w:anchor="childrens-social-care" w:history="1">
        <w:r w:rsidR="00DD3DC0">
          <w:rPr>
            <w:rStyle w:val="Hyperlink"/>
          </w:rPr>
          <w:t xml:space="preserve">risk-based </w:t>
        </w:r>
      </w:hyperlink>
      <w:r w:rsidR="00DD3DC0">
        <w:rPr>
          <w:color w:val="20275C" w:themeColor="text1"/>
        </w:rPr>
        <w:t xml:space="preserve">decisions </w:t>
      </w:r>
      <w:r w:rsidRPr="00DD3DC0">
        <w:rPr>
          <w:color w:val="20275C" w:themeColor="text1"/>
        </w:rPr>
        <w:t>(</w:t>
      </w:r>
      <w:r w:rsidR="00DD3DC0">
        <w:rPr>
          <w:color w:val="20275C" w:themeColor="text1"/>
        </w:rPr>
        <w:t>considering symptomatic/isolating members of households</w:t>
      </w:r>
      <w:r w:rsidRPr="00DD3DC0">
        <w:rPr>
          <w:color w:val="20275C" w:themeColor="text1"/>
        </w:rPr>
        <w:t xml:space="preserve">) and case-specific </w:t>
      </w:r>
      <w:r w:rsidR="00DD3DC0">
        <w:rPr>
          <w:color w:val="20275C" w:themeColor="text1"/>
        </w:rPr>
        <w:t xml:space="preserve">risk assessment </w:t>
      </w:r>
      <w:r w:rsidRPr="00DD3DC0">
        <w:rPr>
          <w:color w:val="20275C" w:themeColor="text1"/>
        </w:rPr>
        <w:t xml:space="preserve">(particularly for clinically </w:t>
      </w:r>
      <w:r w:rsidR="00DD3DC0">
        <w:rPr>
          <w:color w:val="20275C" w:themeColor="text1"/>
        </w:rPr>
        <w:t xml:space="preserve">extremely </w:t>
      </w:r>
      <w:r w:rsidRPr="00DD3DC0">
        <w:rPr>
          <w:color w:val="20275C" w:themeColor="text1"/>
        </w:rPr>
        <w:t xml:space="preserve">vulnerable children/carers) </w:t>
      </w:r>
      <w:r w:rsidR="00DD3DC0">
        <w:rPr>
          <w:color w:val="20275C" w:themeColor="text1"/>
        </w:rPr>
        <w:t>should inform safe</w:t>
      </w:r>
      <w:r w:rsidRPr="00DD3DC0">
        <w:rPr>
          <w:color w:val="20275C" w:themeColor="text1"/>
        </w:rPr>
        <w:t xml:space="preserve"> decision</w:t>
      </w:r>
      <w:r w:rsidR="00DD3DC0">
        <w:rPr>
          <w:color w:val="20275C" w:themeColor="text1"/>
        </w:rPr>
        <w:t>-</w:t>
      </w:r>
      <w:r w:rsidRPr="00DD3DC0">
        <w:rPr>
          <w:color w:val="20275C" w:themeColor="text1"/>
        </w:rPr>
        <w:t>making</w:t>
      </w:r>
      <w:r w:rsidR="00DD3DC0">
        <w:rPr>
          <w:color w:val="20275C" w:themeColor="text1"/>
        </w:rPr>
        <w:t xml:space="preserve"> for children, parents/carers and the workforce.</w:t>
      </w:r>
    </w:p>
    <w:p w14:paraId="76F44C23" w14:textId="77777777" w:rsidR="00A67AEE" w:rsidRPr="00A67AEE" w:rsidRDefault="00A67AEE" w:rsidP="00A67AEE">
      <w:pPr>
        <w:pStyle w:val="ListParagraph"/>
        <w:rPr>
          <w:color w:val="20275C" w:themeColor="text1"/>
        </w:rPr>
      </w:pPr>
    </w:p>
    <w:p w14:paraId="1519C0FF" w14:textId="77777777" w:rsidR="00CC71F6" w:rsidRPr="00A67AEE" w:rsidRDefault="008276DE" w:rsidP="00A67AEE">
      <w:pPr>
        <w:pStyle w:val="ListParagraph"/>
        <w:numPr>
          <w:ilvl w:val="0"/>
          <w:numId w:val="2"/>
        </w:numPr>
        <w:rPr>
          <w:color w:val="20275C" w:themeColor="text1"/>
        </w:rPr>
      </w:pPr>
      <w:r w:rsidRPr="00A67AEE">
        <w:rPr>
          <w:color w:val="20275C" w:themeColor="text1"/>
        </w:rPr>
        <w:t xml:space="preserve">Protection of those considered </w:t>
      </w:r>
      <w:hyperlink r:id="rId17" w:anchor="cev" w:history="1">
        <w:r w:rsidRPr="008276DE">
          <w:rPr>
            <w:rStyle w:val="Hyperlink"/>
          </w:rPr>
          <w:t>clinically extremely vulnerable</w:t>
        </w:r>
      </w:hyperlink>
      <w:r w:rsidR="00A67AEE" w:rsidRPr="00A67AEE">
        <w:rPr>
          <w:color w:val="20275C" w:themeColor="text1"/>
        </w:rPr>
        <w:t xml:space="preserve"> under revised definition issued by Government</w:t>
      </w:r>
      <w:r w:rsidRPr="00A67AEE">
        <w:rPr>
          <w:color w:val="20275C" w:themeColor="text1"/>
        </w:rPr>
        <w:t xml:space="preserve"> – whether children, their families/carers or the social work and wider workforce </w:t>
      </w:r>
      <w:r w:rsidR="00A67AEE" w:rsidRPr="00A67AEE">
        <w:rPr>
          <w:color w:val="20275C" w:themeColor="text1"/>
        </w:rPr>
        <w:t xml:space="preserve">- </w:t>
      </w:r>
      <w:r w:rsidRPr="00A67AEE">
        <w:rPr>
          <w:color w:val="20275C" w:themeColor="text1"/>
        </w:rPr>
        <w:t>should be a key consideration in practical application of principles, regulations and guidance.</w:t>
      </w:r>
    </w:p>
    <w:sectPr w:rsidR="00CC71F6" w:rsidRPr="00A67AEE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33E6D" w14:textId="77777777" w:rsidR="000D7384" w:rsidRDefault="000D7384" w:rsidP="00A67AEE">
      <w:pPr>
        <w:spacing w:after="0" w:line="240" w:lineRule="auto"/>
      </w:pPr>
      <w:r>
        <w:separator/>
      </w:r>
    </w:p>
  </w:endnote>
  <w:endnote w:type="continuationSeparator" w:id="0">
    <w:p w14:paraId="0D26B35C" w14:textId="77777777" w:rsidR="000D7384" w:rsidRDefault="000D7384" w:rsidP="00A67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C3056" w14:textId="77777777" w:rsidR="000D7384" w:rsidRDefault="000D7384" w:rsidP="00A67AEE">
      <w:pPr>
        <w:spacing w:after="0" w:line="240" w:lineRule="auto"/>
      </w:pPr>
      <w:r>
        <w:separator/>
      </w:r>
    </w:p>
  </w:footnote>
  <w:footnote w:type="continuationSeparator" w:id="0">
    <w:p w14:paraId="11F64940" w14:textId="77777777" w:rsidR="000D7384" w:rsidRDefault="000D7384" w:rsidP="00A67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A7DE" w14:textId="77777777" w:rsidR="00A67AEE" w:rsidRDefault="00A67A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4B7A4" wp14:editId="599609FC">
          <wp:simplePos x="0" y="0"/>
          <wp:positionH relativeFrom="margin">
            <wp:posOffset>4152900</wp:posOffset>
          </wp:positionH>
          <wp:positionV relativeFrom="paragraph">
            <wp:posOffset>-305435</wp:posOffset>
          </wp:positionV>
          <wp:extent cx="1962000" cy="684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9CB"/>
    <w:multiLevelType w:val="hybridMultilevel"/>
    <w:tmpl w:val="2EDE6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C5405"/>
    <w:multiLevelType w:val="hybridMultilevel"/>
    <w:tmpl w:val="007E3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F6"/>
    <w:rsid w:val="000A7D36"/>
    <w:rsid w:val="000D7384"/>
    <w:rsid w:val="000F654D"/>
    <w:rsid w:val="001037A1"/>
    <w:rsid w:val="00123C0E"/>
    <w:rsid w:val="00140E58"/>
    <w:rsid w:val="005F133A"/>
    <w:rsid w:val="008276DE"/>
    <w:rsid w:val="00A67AEE"/>
    <w:rsid w:val="00B84E86"/>
    <w:rsid w:val="00B96D7F"/>
    <w:rsid w:val="00BC74BC"/>
    <w:rsid w:val="00CC71F6"/>
    <w:rsid w:val="00DD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063A"/>
  <w15:chartTrackingRefBased/>
  <w15:docId w15:val="{D3453636-EA88-42D0-9481-1E0EABB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54D"/>
    <w:rPr>
      <w:color w:val="1C76B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5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54D"/>
    <w:rPr>
      <w:color w:val="E3A447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EE"/>
  </w:style>
  <w:style w:type="paragraph" w:styleId="Footer">
    <w:name w:val="footer"/>
    <w:basedOn w:val="Normal"/>
    <w:link w:val="FooterChar"/>
    <w:uiPriority w:val="99"/>
    <w:unhideWhenUsed/>
    <w:rsid w:val="00A67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si/2020/1105/schedule/1/paragraph/4/made" TargetMode="External"/><Relationship Id="rId13" Type="http://schemas.openxmlformats.org/officeDocument/2006/relationships/hyperlink" Target="https://www.legislation.gov.uk/uksi/2020/1105/schedule/1/paragraph/4/mad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si/2020/1200/regulation/11/made" TargetMode="External"/><Relationship Id="rId12" Type="http://schemas.openxmlformats.org/officeDocument/2006/relationships/hyperlink" Target="https://www.legislation.gov.uk/uksi/2020/1105/schedule/1/paragraph/4/made" TargetMode="External"/><Relationship Id="rId17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10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ronavirus-covid-19-guidance-for-childrens-social-care-services/coronavirus-covid-19-guidance-for-local-authorities-on-childrens-social-care" TargetMode="External"/><Relationship Id="rId14" Type="http://schemas.openxmlformats.org/officeDocument/2006/relationships/hyperlink" Target="https://www.legislation.gov.uk/uksi/2020/1105/schedule/1/paragraph/4/ma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WADCS">
      <a:dk1>
        <a:srgbClr val="20275C"/>
      </a:dk1>
      <a:lt1>
        <a:srgbClr val="0099A0"/>
      </a:lt1>
      <a:dk2>
        <a:srgbClr val="E3A447"/>
      </a:dk2>
      <a:lt2>
        <a:srgbClr val="E5E5E5"/>
      </a:lt2>
      <a:accent1>
        <a:srgbClr val="1C76BB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1C76BB"/>
      </a:hlink>
      <a:folHlink>
        <a:srgbClr val="E3A447"/>
      </a:folHlink>
    </a:clrScheme>
    <a:fontScheme name="NWADC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Bunker</dc:creator>
  <cp:keywords/>
  <dc:description/>
  <cp:lastModifiedBy>Paul Bunker</cp:lastModifiedBy>
  <cp:revision>2</cp:revision>
  <dcterms:created xsi:type="dcterms:W3CDTF">2020-11-04T15:51:00Z</dcterms:created>
  <dcterms:modified xsi:type="dcterms:W3CDTF">2020-11-05T11:26:00Z</dcterms:modified>
</cp:coreProperties>
</file>