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>Initial analysis of the evidence of wider family and friend’s capabilities to meet the needs of the child/</w:t>
      </w:r>
      <w:proofErr w:type="gramStart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ren</w:t>
      </w:r>
      <w:proofErr w:type="gramEnd"/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gram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ren.</w:t>
            </w:r>
            <w:proofErr w:type="gramEnd"/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584218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Katy Block</cp:lastModifiedBy>
  <cp:revision>16</cp:revision>
  <dcterms:created xsi:type="dcterms:W3CDTF">2021-02-10T16:28:00Z</dcterms:created>
  <dcterms:modified xsi:type="dcterms:W3CDTF">2021-04-15T14:23:00Z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